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4C0DE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107學年度下學期五年級</w:t>
      </w:r>
      <w:r w:rsidR="00517F72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</w:t>
      </w:r>
      <w:proofErr w:type="gramStart"/>
      <w:r w:rsidR="00C33FAE">
        <w:rPr>
          <w:rFonts w:ascii="標楷體" w:eastAsia="標楷體" w:hAnsi="標楷體" w:hint="eastAsia"/>
          <w:b/>
          <w:sz w:val="40"/>
          <w:szCs w:val="40"/>
        </w:rPr>
        <w:t>規</w:t>
      </w:r>
      <w:proofErr w:type="gramEnd"/>
      <w:r w:rsidR="00C33FAE">
        <w:rPr>
          <w:rFonts w:ascii="標楷體" w:eastAsia="標楷體" w:hAnsi="標楷體" w:hint="eastAsia"/>
          <w:b/>
          <w:sz w:val="40"/>
          <w:szCs w:val="40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044E2E" w:rsidRPr="00CF6403" w:rsidTr="009671B7">
        <w:trPr>
          <w:trHeight w:val="906"/>
        </w:trPr>
        <w:tc>
          <w:tcPr>
            <w:tcW w:w="353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044E2E" w:rsidRPr="00CF6403" w:rsidRDefault="000F03BB" w:rsidP="009053B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</w:t>
            </w:r>
            <w:r w:rsidR="009053B9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0D3C55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6B23FD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五年級全體教師</w:t>
            </w:r>
          </w:p>
        </w:tc>
      </w:tr>
      <w:tr w:rsidR="00044E2E" w:rsidRPr="00CF6403" w:rsidTr="00FE06AF">
        <w:tc>
          <w:tcPr>
            <w:tcW w:w="35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47" w:type="pct"/>
            <w:gridSpan w:val="5"/>
          </w:tcPr>
          <w:p w:rsidR="00F722A1" w:rsidRDefault="00DF7D59" w:rsidP="00DF7D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A1</w:t>
            </w:r>
            <w:r w:rsidRPr="00DF7D5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我精進</w:t>
            </w:r>
          </w:p>
          <w:p w:rsidR="00DF7D59" w:rsidRDefault="00DF7D59" w:rsidP="00DF7D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A2</w:t>
            </w:r>
            <w:r w:rsidRPr="00DF7D5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系統思考與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解決問題</w:t>
            </w:r>
          </w:p>
          <w:p w:rsidR="00DF7D59" w:rsidRDefault="00DF7D59" w:rsidP="00DF7D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F7D59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A3</w:t>
            </w:r>
            <w:r w:rsidRPr="00DF7D5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規劃執行與創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新應變</w:t>
            </w:r>
          </w:p>
          <w:p w:rsidR="00DF7D59" w:rsidRDefault="00DF7D59" w:rsidP="00DF7D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F7D59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B1</w:t>
            </w:r>
            <w:r w:rsidRPr="00DF7D5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符號運用與溝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通表達</w:t>
            </w:r>
          </w:p>
          <w:p w:rsidR="00DF7D59" w:rsidRDefault="004C5CF7" w:rsidP="004C5C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4C5CF7" w:rsidRPr="00CF6403" w:rsidRDefault="004C5CF7" w:rsidP="004C5C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C2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人際關係與團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隊合作</w:t>
            </w:r>
          </w:p>
        </w:tc>
      </w:tr>
      <w:tr w:rsidR="00044E2E" w:rsidRPr="00CF6403" w:rsidTr="00FE06AF">
        <w:tc>
          <w:tcPr>
            <w:tcW w:w="353" w:type="pct"/>
            <w:vAlign w:val="center"/>
          </w:tcPr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4647" w:type="pct"/>
            <w:gridSpan w:val="5"/>
          </w:tcPr>
          <w:p w:rsidR="00B814F5" w:rsidRPr="00B814F5" w:rsidRDefault="00B814F5" w:rsidP="00B814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數-E-A1具備喜歡數學、對數學世界好奇、有積極主動的學習態度，並能將數學語言運用於日常生活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br/>
            </w:r>
            <w:r w:rsidRPr="0052539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數-E-A2具備基本的算術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、並能</w:t>
            </w: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指認基本的形體與相對關係，在日常生活情境中，用數學表述與解決問題。</w:t>
            </w:r>
          </w:p>
          <w:p w:rsidR="00DC4B51" w:rsidRDefault="00B814F5" w:rsidP="00B814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數-E-A3能觀察出日常生活問題和數學的關聯，並能嘗試與擬訂解決問題的計畫。在解決問題之後，能轉化數學解答</w:t>
            </w:r>
          </w:p>
          <w:p w:rsidR="00B814F5" w:rsidRPr="00525394" w:rsidRDefault="00B814F5" w:rsidP="00DC4B51">
            <w:pPr>
              <w:snapToGrid w:val="0"/>
              <w:spacing w:line="300" w:lineRule="exact"/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於日</w:t>
            </w:r>
            <w:r w:rsidRPr="00B8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常生活的應用。</w:t>
            </w:r>
          </w:p>
          <w:p w:rsidR="00DC4B51" w:rsidRDefault="00B814F5" w:rsidP="00B814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數-E-B1 具備日常語言與數字及算術符號之間的轉換能力，並能熟練操作日常使用之度量衡及時間，認識日常經驗中</w:t>
            </w:r>
          </w:p>
          <w:p w:rsidR="00B814F5" w:rsidRDefault="00B814F5" w:rsidP="00DC4B51">
            <w:pPr>
              <w:snapToGrid w:val="0"/>
              <w:spacing w:line="300" w:lineRule="exact"/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的幾何形體，並能以符號表示公</w:t>
            </w:r>
            <w:r w:rsidRPr="00B8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式。</w:t>
            </w:r>
          </w:p>
          <w:p w:rsidR="00B814F5" w:rsidRPr="00B814F5" w:rsidRDefault="00B814F5" w:rsidP="00B814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數-E-C1具備從證據討論事情，以及和他人有條理溝通的</w:t>
            </w:r>
            <w:r w:rsidRPr="00B8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態度。</w:t>
            </w:r>
          </w:p>
          <w:p w:rsidR="00B41FA8" w:rsidRDefault="00B814F5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數-E-C2</w:t>
            </w:r>
            <w:r w:rsidRPr="00DC4B5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  <w:p w:rsidR="00450101" w:rsidRPr="00DC4B51" w:rsidRDefault="00450101" w:rsidP="00450101">
            <w:pPr>
              <w:snapToGrid w:val="0"/>
              <w:spacing w:line="300" w:lineRule="exact"/>
              <w:jc w:val="both"/>
              <w:rPr>
                <w:rFonts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72F41" w:rsidRPr="00CF6403" w:rsidTr="00AA7830">
        <w:trPr>
          <w:trHeight w:val="4103"/>
        </w:trPr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1" w:rsidRDefault="009045C8" w:rsidP="009045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 -7</w:t>
            </w:r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理解小數乘法和除的意義，能</w:t>
            </w:r>
            <w:proofErr w:type="gramStart"/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做直式</w:t>
            </w:r>
            <w:proofErr w:type="gramEnd"/>
          </w:p>
          <w:p w:rsidR="009045C8" w:rsidRPr="00DC4B51" w:rsidRDefault="009045C8" w:rsidP="00DC4B51">
            <w:pPr>
              <w:snapToGrid w:val="0"/>
              <w:spacing w:line="300" w:lineRule="exact"/>
              <w:ind w:firstLineChars="400" w:firstLine="1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計算與應用。</w:t>
            </w:r>
          </w:p>
          <w:p w:rsidR="00302A6E" w:rsidRDefault="00302A6E" w:rsidP="00302A6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n-III-9理解比例關係的意義，並能據以觀察</w:t>
            </w:r>
          </w:p>
          <w:p w:rsidR="00302A6E" w:rsidRDefault="00302A6E" w:rsidP="00302A6E">
            <w:pPr>
              <w:snapToGrid w:val="0"/>
              <w:spacing w:line="300" w:lineRule="exact"/>
              <w:ind w:firstLineChars="400" w:firstLine="1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、表述、計算與解題，如比率、比例</w:t>
            </w:r>
          </w:p>
          <w:p w:rsidR="007A286B" w:rsidRPr="00DC4B51" w:rsidRDefault="00302A6E" w:rsidP="00DC4B51">
            <w:pPr>
              <w:snapToGrid w:val="0"/>
              <w:spacing w:line="300" w:lineRule="exact"/>
              <w:ind w:firstLineChars="400" w:firstLine="1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尺、速度、基準量等。</w:t>
            </w:r>
          </w:p>
          <w:p w:rsidR="00D01E92" w:rsidRDefault="00D01E92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1E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 -11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認識量的常用單位及其換算，並處</w:t>
            </w:r>
          </w:p>
          <w:p w:rsidR="00D01E92" w:rsidRDefault="00D01E92" w:rsidP="00D01E92">
            <w:pPr>
              <w:snapToGrid w:val="0"/>
              <w:spacing w:line="300" w:lineRule="exact"/>
              <w:ind w:firstLineChars="500" w:firstLine="14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理相關應問題。</w:t>
            </w:r>
          </w:p>
          <w:p w:rsidR="00DC4B51" w:rsidRDefault="007A286B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n-III-12理解容量、容積和體積之間的關係，</w:t>
            </w:r>
          </w:p>
          <w:p w:rsidR="00B12955" w:rsidRPr="00DC4B51" w:rsidRDefault="00DC4B51" w:rsidP="00DC4B5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7A286B"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並做應用。</w:t>
            </w:r>
          </w:p>
          <w:p w:rsidR="00DC4B51" w:rsidRDefault="00B12955" w:rsidP="009045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s-III-3從操作活動，理解空間中面與面的關</w:t>
            </w:r>
          </w:p>
          <w:p w:rsidR="00B72F41" w:rsidRDefault="00B12955" w:rsidP="00D01E92">
            <w:pPr>
              <w:snapToGrid w:val="0"/>
              <w:spacing w:line="300" w:lineRule="exact"/>
              <w:ind w:firstLineChars="400" w:firstLine="1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係與簡單立體形體的性質。</w:t>
            </w:r>
          </w:p>
          <w:p w:rsidR="00D01E92" w:rsidRPr="00DC4B51" w:rsidRDefault="00D01E92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DC4B51" w:rsidRPr="00D866C3" w:rsidRDefault="006E53BB" w:rsidP="000400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N-5-8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小數的乘法：整數乘以小數、小數乘以小數的意義。乘</w:t>
            </w:r>
          </w:p>
          <w:p w:rsidR="00DC4B51" w:rsidRPr="00D866C3" w:rsidRDefault="006E53BB" w:rsidP="00DC4B51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數為小數的直式計算。教師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用位值的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概念說明直式計算</w:t>
            </w:r>
          </w:p>
          <w:p w:rsidR="000400AE" w:rsidRPr="00D866C3" w:rsidRDefault="006E53BB" w:rsidP="00DC4B51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的合理性。處理乘積一定比被乘數大的錯誤類型。</w:t>
            </w:r>
          </w:p>
          <w:p w:rsidR="00DC4B51" w:rsidRPr="00D866C3" w:rsidRDefault="006E53BB" w:rsidP="000400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N-5-10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解題：比率與應用。整數相除的應用。含「百分率」、</w:t>
            </w:r>
          </w:p>
          <w:p w:rsidR="000400AE" w:rsidRPr="00D866C3" w:rsidRDefault="006E53BB" w:rsidP="00DC4B51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「折」、「成」。</w:t>
            </w:r>
          </w:p>
          <w:p w:rsidR="00DC4B51" w:rsidRPr="00D866C3" w:rsidRDefault="006E53BB" w:rsidP="000400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N-5-12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面積：「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公畝」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、「公頃」、「平方公里」。生活實例之應</w:t>
            </w:r>
          </w:p>
          <w:p w:rsidR="000400AE" w:rsidRPr="00D866C3" w:rsidRDefault="006E53BB" w:rsidP="00DC4B51">
            <w:pPr>
              <w:snapToGrid w:val="0"/>
              <w:spacing w:line="300" w:lineRule="exact"/>
              <w:ind w:firstLineChars="350" w:firstLine="9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用。含與「平方公尺」的換算與計算。</w:t>
            </w:r>
          </w:p>
          <w:p w:rsidR="00D73F82" w:rsidRPr="00D866C3" w:rsidRDefault="00D73F82" w:rsidP="000400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N-5-15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解題：容積。容量、容積和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體積間的關係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。知道液體</w:t>
            </w:r>
          </w:p>
          <w:p w:rsidR="00D73F82" w:rsidRPr="00D866C3" w:rsidRDefault="00D73F82" w:rsidP="00D73F82">
            <w:pPr>
              <w:snapToGrid w:val="0"/>
              <w:spacing w:line="300" w:lineRule="exact"/>
              <w:ind w:firstLineChars="350" w:firstLine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體積的意義。</w:t>
            </w:r>
          </w:p>
          <w:p w:rsidR="00D01E92" w:rsidRDefault="00D01E92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1E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S-5-6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空間中面與面的關係：以操作活動為主。生活中面與面</w:t>
            </w:r>
          </w:p>
          <w:p w:rsidR="00D01E92" w:rsidRDefault="00D01E92" w:rsidP="00D01E92">
            <w:pPr>
              <w:snapToGrid w:val="0"/>
              <w:spacing w:line="300" w:lineRule="exact"/>
              <w:ind w:left="840" w:hangingChars="300" w:hanging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現象。正方體（長方體）中面與面的平行或垂直關係。用正方體（長方體）檢查面與面的平行與垂直。</w:t>
            </w:r>
          </w:p>
          <w:p w:rsidR="00D866C3" w:rsidRDefault="00D73F82" w:rsidP="00D01E92">
            <w:pPr>
              <w:snapToGrid w:val="0"/>
              <w:spacing w:line="3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S-5-7</w:t>
            </w:r>
            <w:r w:rsidR="00D866C3" w:rsidRPr="00D866C3">
              <w:rPr>
                <w:rFonts w:ascii="標楷體" w:eastAsia="標楷體" w:hAnsi="標楷體" w:hint="eastAsia"/>
                <w:sz w:val="28"/>
                <w:szCs w:val="28"/>
              </w:rPr>
              <w:t xml:space="preserve"> 球、柱體與錐體：以操作活動為主。認識球、（直）圓</w:t>
            </w:r>
          </w:p>
          <w:p w:rsidR="00D866C3" w:rsidRDefault="00D866C3" w:rsidP="00D866C3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柱、（直）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角柱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、（直）角錐、（直）圓錐。認識柱體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proofErr w:type="gramEnd"/>
          </w:p>
          <w:p w:rsidR="00D866C3" w:rsidRDefault="00D866C3" w:rsidP="00D866C3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錐體之構成要素與展開圖。檢查柱體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兩底面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平行；檢查</w:t>
            </w:r>
          </w:p>
          <w:p w:rsidR="001C4586" w:rsidRPr="00D866C3" w:rsidRDefault="00D866C3" w:rsidP="00AA7830">
            <w:pPr>
              <w:snapToGrid w:val="0"/>
              <w:spacing w:line="300" w:lineRule="exact"/>
              <w:ind w:firstLineChars="300" w:firstLine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柱體側面和底面垂直，錐體側面和底面不垂直。</w:t>
            </w:r>
            <w:r w:rsidRPr="00D866C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C4586" w:rsidRPr="00D866C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01169" w:rsidRPr="009B3A25" w:rsidRDefault="00401169" w:rsidP="009B3A25">
      <w:pPr>
        <w:spacing w:line="320" w:lineRule="auto"/>
        <w:rPr>
          <w:color w:val="FF0000"/>
          <w:sz w:val="23"/>
          <w:szCs w:val="23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1902"/>
        <w:gridCol w:w="2548"/>
        <w:gridCol w:w="2548"/>
        <w:gridCol w:w="2295"/>
        <w:gridCol w:w="2267"/>
        <w:gridCol w:w="1702"/>
        <w:gridCol w:w="1330"/>
      </w:tblGrid>
      <w:tr w:rsidR="00825C5D" w:rsidRPr="00CF6403" w:rsidTr="00C32B05">
        <w:trPr>
          <w:trHeight w:val="263"/>
        </w:trPr>
        <w:tc>
          <w:tcPr>
            <w:tcW w:w="32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09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825C5D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16" w:type="pct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735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26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45" w:type="pct"/>
            <w:vAlign w:val="center"/>
          </w:tcPr>
          <w:p w:rsidR="00825C5D" w:rsidRPr="00CF6403" w:rsidRDefault="00825C5D" w:rsidP="00825C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6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825C5D" w:rsidRPr="00CF6403" w:rsidTr="00C32B05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825C5D" w:rsidP="003459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635980" w:rsidRDefault="00886DE4" w:rsidP="009B2D1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第二單元</w:t>
            </w:r>
          </w:p>
          <w:p w:rsidR="00635980" w:rsidRDefault="009B2D13" w:rsidP="009B2D1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數學建構反應</w:t>
            </w:r>
          </w:p>
          <w:p w:rsidR="00635980" w:rsidRDefault="009B2D13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題實作</w:t>
            </w:r>
            <w:proofErr w:type="gramEnd"/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、分享與討論：</w:t>
            </w:r>
          </w:p>
          <w:p w:rsidR="00825C5D" w:rsidRPr="00CF6403" w:rsidRDefault="009B2D13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美金兌換</w:t>
            </w:r>
          </w:p>
        </w:tc>
        <w:tc>
          <w:tcPr>
            <w:tcW w:w="816" w:type="pct"/>
          </w:tcPr>
          <w:p w:rsidR="00EE784D" w:rsidRPr="00EE784D" w:rsidRDefault="00EE784D" w:rsidP="00EE784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A2系統思考與解決問題</w:t>
            </w:r>
          </w:p>
          <w:p w:rsidR="00EE784D" w:rsidRPr="00EE784D" w:rsidRDefault="00EE784D" w:rsidP="00EE784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B1符號運用與溝通表達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4B3E68" w:rsidRDefault="00EE784D" w:rsidP="00EE784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C2人際關係與團隊合作</w:t>
            </w:r>
          </w:p>
          <w:p w:rsidR="004B3E68" w:rsidRDefault="004B3E68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4B3E68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藉由數學建構反</w:t>
            </w: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應題的實作、分享與討論，使學生更能</w:t>
            </w:r>
            <w:proofErr w:type="gramStart"/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清自我的數學概念。</w:t>
            </w:r>
          </w:p>
        </w:tc>
        <w:tc>
          <w:tcPr>
            <w:tcW w:w="816" w:type="pct"/>
          </w:tcPr>
          <w:p w:rsidR="00D866C3" w:rsidRPr="00D866C3" w:rsidRDefault="00D866C3" w:rsidP="00D866C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教師在教授完課本P.21後即可進行數學建構</w:t>
            </w:r>
            <w:proofErr w:type="gramStart"/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反應題實作</w:t>
            </w:r>
            <w:proofErr w:type="gramEnd"/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Default="00D866C3" w:rsidP="00D866C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請不同解題策略的學生上台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分享與討論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866C3" w:rsidRPr="00D866C3" w:rsidRDefault="00D866C3" w:rsidP="00D866C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針對學生分享的解題策略進行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常見的迷思概念分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35" w:type="pct"/>
          </w:tcPr>
          <w:p w:rsidR="00825C5D" w:rsidRPr="00CF6403" w:rsidRDefault="00AA7830" w:rsidP="00C32B0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lastRenderedPageBreak/>
              <w:t>N-5-8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小數的乘法：整數乘以小數、小數乘以小數的意義。乘數為小數的直式計算。教師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用位值的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概念說明直式計算的合理性。處理乘積一定比被乘數大的錯誤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類型。</w:t>
            </w:r>
          </w:p>
        </w:tc>
        <w:tc>
          <w:tcPr>
            <w:tcW w:w="726" w:type="pct"/>
          </w:tcPr>
          <w:p w:rsidR="00AA7830" w:rsidRPr="00DC4B51" w:rsidRDefault="00AA7830" w:rsidP="00AA78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n-III -7</w:t>
            </w:r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理解小數乘法和除的意義，能</w:t>
            </w:r>
            <w:proofErr w:type="gramStart"/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做直式</w:t>
            </w:r>
            <w:proofErr w:type="gramEnd"/>
            <w:r w:rsidRPr="00DC4B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計算與應用。</w:t>
            </w:r>
          </w:p>
          <w:p w:rsidR="00825C5D" w:rsidRPr="00CF6403" w:rsidRDefault="00825C5D" w:rsidP="00AA78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pct"/>
          </w:tcPr>
          <w:p w:rsidR="004566D8" w:rsidRDefault="004566D8" w:rsidP="004566D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數學建構反應</w:t>
            </w: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</w:tcPr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C32B05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345959" w:rsidP="003459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</w:t>
            </w:r>
            <w:r w:rsidR="00825C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" w:type="pct"/>
          </w:tcPr>
          <w:p w:rsidR="00635980" w:rsidRDefault="00886DE4" w:rsidP="00886DE4">
            <w:pPr>
              <w:snapToGrid w:val="0"/>
              <w:spacing w:line="300" w:lineRule="exact"/>
              <w:ind w:left="140" w:hangingChars="50" w:hanging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第四單元</w:t>
            </w:r>
          </w:p>
          <w:p w:rsidR="00635980" w:rsidRDefault="009B2D13" w:rsidP="00886DE4">
            <w:pPr>
              <w:snapToGrid w:val="0"/>
              <w:spacing w:line="300" w:lineRule="exact"/>
              <w:ind w:left="140" w:hangingChars="50" w:hanging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數學建構反應</w:t>
            </w:r>
          </w:p>
          <w:p w:rsidR="00635980" w:rsidRDefault="009B2D13" w:rsidP="00886DE4">
            <w:pPr>
              <w:snapToGrid w:val="0"/>
              <w:spacing w:line="300" w:lineRule="exact"/>
              <w:ind w:left="140" w:hangingChars="50" w:hanging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題實作</w:t>
            </w:r>
            <w:proofErr w:type="gramEnd"/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、分享</w:t>
            </w:r>
          </w:p>
          <w:p w:rsidR="00635980" w:rsidRDefault="009B2D13" w:rsidP="00886DE4">
            <w:pPr>
              <w:snapToGrid w:val="0"/>
              <w:spacing w:line="300" w:lineRule="exact"/>
              <w:ind w:left="140" w:hangingChars="50" w:hanging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與討論：</w:t>
            </w:r>
          </w:p>
          <w:p w:rsidR="00825C5D" w:rsidRPr="00CF6403" w:rsidRDefault="00886DE4" w:rsidP="00635980">
            <w:pPr>
              <w:snapToGrid w:val="0"/>
              <w:spacing w:line="300" w:lineRule="exact"/>
              <w:ind w:left="140" w:hangingChars="50" w:hanging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正方體</w:t>
            </w:r>
            <w:r w:rsid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展開圖</w:t>
            </w:r>
          </w:p>
        </w:tc>
        <w:tc>
          <w:tcPr>
            <w:tcW w:w="816" w:type="pct"/>
          </w:tcPr>
          <w:p w:rsidR="00A360EB" w:rsidRPr="00EE784D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A2系統思考與解決問題</w:t>
            </w:r>
          </w:p>
          <w:p w:rsidR="00A360EB" w:rsidRPr="00EE784D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B1符號運用與溝通表達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A360EB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8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C2人際關係與團隊合作</w:t>
            </w:r>
          </w:p>
          <w:p w:rsidR="00A360EB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藉由數學建構反應題的實作、分享與討論，使學生更能</w:t>
            </w:r>
            <w:proofErr w:type="gramStart"/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清自我的數學概念。</w:t>
            </w:r>
          </w:p>
        </w:tc>
        <w:tc>
          <w:tcPr>
            <w:tcW w:w="816" w:type="pct"/>
          </w:tcPr>
          <w:p w:rsidR="00D866C3" w:rsidRPr="00D866C3" w:rsidRDefault="00D866C3" w:rsidP="00D866C3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教師在教授完課本P.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後即可進行數學建構</w:t>
            </w:r>
            <w:proofErr w:type="gramStart"/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反應題實作</w:t>
            </w:r>
            <w:proofErr w:type="gramEnd"/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866C3" w:rsidRDefault="00D866C3" w:rsidP="00D866C3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請不同解題策略的學生，透過教具操作，上台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分享與討論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Default="00D866C3" w:rsidP="00D866C3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針對學生分享的解題策略進行</w:t>
            </w:r>
            <w:r w:rsidRPr="00D86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常見的迷思概念分析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66D8" w:rsidRPr="00CF6403" w:rsidRDefault="004566D8" w:rsidP="004566D8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pct"/>
          </w:tcPr>
          <w:p w:rsidR="00825C5D" w:rsidRPr="00CF6403" w:rsidRDefault="00974241" w:rsidP="0097424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1E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S-5-6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空間中面與面的關係：以操作活動為主。生活中面與面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現象。正方體（長方體）中面與面的平行或垂直關係。用正方體（長方體）檢查面與面的平行與垂直。</w:t>
            </w:r>
          </w:p>
        </w:tc>
        <w:tc>
          <w:tcPr>
            <w:tcW w:w="726" w:type="pct"/>
          </w:tcPr>
          <w:p w:rsidR="00255118" w:rsidRDefault="00255118" w:rsidP="0025511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s-III-3從操作活動，理解空間中面與面的關</w:t>
            </w:r>
          </w:p>
          <w:p w:rsidR="00825C5D" w:rsidRDefault="00255118" w:rsidP="0025511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係與簡單立體形體的性質。</w:t>
            </w:r>
          </w:p>
          <w:p w:rsidR="00255118" w:rsidRPr="00255118" w:rsidRDefault="00255118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pct"/>
          </w:tcPr>
          <w:p w:rsidR="004566D8" w:rsidRDefault="004566D8" w:rsidP="004566D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2D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數學建構反應</w:t>
            </w: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</w:tcPr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C32B05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345959" w:rsidP="003459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517F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9" w:type="pct"/>
          </w:tcPr>
          <w:p w:rsidR="00886DE4" w:rsidRDefault="00886DE4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第六單元</w:t>
            </w:r>
          </w:p>
          <w:p w:rsidR="00345959" w:rsidRDefault="00345959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數學繪本閱讀：</w:t>
            </w:r>
          </w:p>
          <w:p w:rsidR="008F735D" w:rsidRPr="00E76AA2" w:rsidRDefault="00345959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wave"/>
              </w:rPr>
            </w:pP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-喔，原來我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最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棒-測量的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祕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密</w:t>
            </w:r>
          </w:p>
          <w:p w:rsidR="00345959" w:rsidRPr="008F735D" w:rsidRDefault="008F735D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5959" w:rsidRPr="008F73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大單位測量實作、分享與討論-明湖國小有多大？</w:t>
            </w:r>
          </w:p>
          <w:p w:rsidR="008F735D" w:rsidRDefault="008F735D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Pr="008F735D" w:rsidRDefault="00CF151F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F735D" w:rsidRPr="008F735D" w:rsidRDefault="008F735D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第七單元</w:t>
            </w:r>
          </w:p>
          <w:p w:rsidR="00345959" w:rsidRDefault="008F735D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5959"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數學繪本閱讀：</w:t>
            </w:r>
          </w:p>
          <w:p w:rsidR="00345959" w:rsidRPr="00CF6403" w:rsidRDefault="00345959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-咦，箱子裡是啥？</w:t>
            </w:r>
          </w:p>
        </w:tc>
        <w:tc>
          <w:tcPr>
            <w:tcW w:w="816" w:type="pct"/>
          </w:tcPr>
          <w:p w:rsidR="004B3E68" w:rsidRP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A1身心素質與自我精進</w:t>
            </w:r>
          </w:p>
          <w:p w:rsidR="004B3E68" w:rsidRP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4B3E68" w:rsidRP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4B3E68" w:rsidRP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  <w:p w:rsidR="004B3E68" w:rsidRDefault="004B3E68" w:rsidP="004B3E6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B3E68" w:rsidRPr="00A360EB" w:rsidRDefault="004B3E68" w:rsidP="00A360EB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60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能透過數學繪本的閱讀，促進數</w:t>
            </w:r>
            <w:r w:rsidRPr="00A360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學與生活情境的連結。</w:t>
            </w:r>
          </w:p>
          <w:p w:rsidR="00A360EB" w:rsidRPr="00A360EB" w:rsidRDefault="00A360EB" w:rsidP="00A360EB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60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配合數學課程單元教學，融入多元的實作與分享討論課程，以增進數學教學的生活化、趣味化。</w:t>
            </w:r>
          </w:p>
          <w:p w:rsidR="00825C5D" w:rsidRDefault="00825C5D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Default="00A360EB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360EB" w:rsidRPr="004B3E68" w:rsidRDefault="00A360EB" w:rsidP="00A36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8F735D" w:rsidRPr="008F735D" w:rsidRDefault="008F735D" w:rsidP="008F735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第六單元</w:t>
            </w:r>
          </w:p>
          <w:p w:rsidR="00886DE4" w:rsidRPr="00886DE4" w:rsidRDefault="00886DE4" w:rsidP="00886DE4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6D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教師在教第六單元前，先引導學生閱</w:t>
            </w:r>
            <w:r w:rsidR="00AE7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讀</w:t>
            </w:r>
            <w:r w:rsidRPr="00886D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數學繪本-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-喔，原來我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最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棒-測量的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祕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密</w:t>
            </w:r>
            <w:r w:rsidRPr="00886D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，以引起學生的學習興趣。</w:t>
            </w:r>
          </w:p>
          <w:p w:rsidR="00886DE4" w:rsidRDefault="00886DE4" w:rsidP="00886DE4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學生分組估測、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實測明湖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  <w:r w:rsidR="005D7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教室四周長度、</w:t>
            </w:r>
            <w:r w:rsidR="005D7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人行道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8F73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周長度或操場四周長度，以推算明湖國小</w:t>
            </w:r>
            <w:r w:rsidR="005D7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及教室</w:t>
            </w:r>
            <w:r w:rsidR="008F73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的面積或操場的面積。</w:t>
            </w:r>
          </w:p>
          <w:p w:rsidR="008F735D" w:rsidRDefault="008F735D" w:rsidP="00886DE4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引導學生進行不同面積單位的換算，如平方公尺、平方公里、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公畝、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公頃。</w:t>
            </w:r>
          </w:p>
          <w:p w:rsidR="008F735D" w:rsidRDefault="008F735D" w:rsidP="00886DE4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請學生上台分享並進行討論。</w:t>
            </w:r>
          </w:p>
          <w:p w:rsidR="00F0642F" w:rsidRDefault="00F0642F" w:rsidP="00F0642F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E76BE" w:rsidRPr="00AE76BE" w:rsidRDefault="00AE76BE" w:rsidP="00AE76B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7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第七單元</w:t>
            </w:r>
          </w:p>
          <w:p w:rsidR="00AE76BE" w:rsidRPr="00AE76BE" w:rsidRDefault="00AE76BE" w:rsidP="00AE76BE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7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教師在教完第七</w:t>
            </w:r>
          </w:p>
          <w:p w:rsidR="008F735D" w:rsidRDefault="00AE76BE" w:rsidP="00AE76BE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7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單元P.88後，引導學生閱讀數學繪本-</w:t>
            </w: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-咦，箱子裡是啥？</w:t>
            </w:r>
          </w:p>
          <w:p w:rsidR="00B94336" w:rsidRPr="00B94336" w:rsidRDefault="00AE76BE" w:rsidP="00B94336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可進行猜猜樂活</w:t>
            </w:r>
          </w:p>
          <w:p w:rsidR="00AE76BE" w:rsidRDefault="00AE76BE" w:rsidP="00B94336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動，請學生在紙箱中拿出指定的立體形體或猜出自己拿到的</w:t>
            </w:r>
            <w:r w:rsidR="00B94336" w:rsidRPr="00B94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立體形體名稱。</w:t>
            </w:r>
          </w:p>
          <w:p w:rsidR="00825C5D" w:rsidRDefault="00E36B5E" w:rsidP="00E36B5E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可讓小組間互相指定想找的立體形體。</w:t>
            </w:r>
          </w:p>
          <w:p w:rsidR="004566D8" w:rsidRPr="00886DE4" w:rsidRDefault="004566D8" w:rsidP="00E36B5E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pct"/>
          </w:tcPr>
          <w:p w:rsidR="00825C5D" w:rsidRDefault="00825C5D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E37D6" w:rsidRDefault="003E37D6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E37D6" w:rsidRDefault="003E37D6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E37D6" w:rsidRDefault="003E37D6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E37D6" w:rsidRDefault="003E37D6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N-5-12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面積：「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公畝」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、「公頃」、「平方公里」。生活實例之應用。含與「平方公尺」的換算與計算。</w:t>
            </w: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151F" w:rsidRDefault="00CF151F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Pr="003E37D6" w:rsidRDefault="00CF151F" w:rsidP="00CF15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S-5-7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 xml:space="preserve"> 球、柱體與錐體：以操作活動為主。認識球、（直）圓柱、（直）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角柱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、（直）角錐、（直）圓錐。認識柱體和錐體之構成要素與展開圖。檢查柱體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兩底面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平行；檢查柱體側面和底面垂直，錐體側面和底面不垂直。</w:t>
            </w:r>
          </w:p>
        </w:tc>
        <w:tc>
          <w:tcPr>
            <w:tcW w:w="726" w:type="pct"/>
          </w:tcPr>
          <w:p w:rsidR="00825C5D" w:rsidRDefault="00825C5D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01E92" w:rsidRDefault="00D01E92" w:rsidP="00D01E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1E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n-III-11</w:t>
            </w:r>
            <w:r w:rsidRPr="00D01E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認識量的常用單位及其換算，並處理相關應問題。</w:t>
            </w: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F151F" w:rsidRPr="00DC4B51" w:rsidRDefault="00CF151F" w:rsidP="00CF151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s-III-3從操作活動，理解空間中面與面的關係與簡單立體形體的性質。</w:t>
            </w:r>
          </w:p>
          <w:p w:rsidR="00CF151F" w:rsidRPr="00CF151F" w:rsidRDefault="00CF151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pct"/>
          </w:tcPr>
          <w:p w:rsidR="00825C5D" w:rsidRDefault="00825C5D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小組實測、分享</w:t>
            </w: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小組活動</w:t>
            </w: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Pr="00CF6403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</w:tcPr>
          <w:p w:rsidR="00825C5D" w:rsidRDefault="00825C5D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語文</w:t>
            </w: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Pr="00CF6403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語文</w:t>
            </w:r>
          </w:p>
        </w:tc>
      </w:tr>
      <w:tr w:rsidR="00345959" w:rsidRPr="00CF6403" w:rsidTr="00C32B05">
        <w:trPr>
          <w:trHeight w:val="964"/>
        </w:trPr>
        <w:tc>
          <w:tcPr>
            <w:tcW w:w="327" w:type="pct"/>
            <w:vAlign w:val="center"/>
          </w:tcPr>
          <w:p w:rsidR="00345959" w:rsidRDefault="00345959" w:rsidP="003459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13-16</w:t>
            </w:r>
          </w:p>
        </w:tc>
        <w:tc>
          <w:tcPr>
            <w:tcW w:w="609" w:type="pct"/>
          </w:tcPr>
          <w:p w:rsidR="00635980" w:rsidRDefault="00635980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第八單元</w:t>
            </w:r>
          </w:p>
          <w:p w:rsidR="00345959" w:rsidRPr="00345959" w:rsidRDefault="00635980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5959"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生活中的百分率：</w:t>
            </w:r>
          </w:p>
          <w:p w:rsidR="00635980" w:rsidRPr="008F55EE" w:rsidRDefault="00345959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加成、打折與第二件半價，哪</w:t>
            </w:r>
            <w:proofErr w:type="gramStart"/>
            <w:r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最划算？</w:t>
            </w:r>
            <w:r w:rsidR="006359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2.</w:t>
            </w:r>
            <w:r w:rsidR="00635980" w:rsidRPr="008F55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生活中的百分率：</w:t>
            </w:r>
          </w:p>
          <w:p w:rsidR="00345959" w:rsidRDefault="00635980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55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</w:t>
            </w:r>
            <w:proofErr w:type="gramStart"/>
            <w:r w:rsidRPr="008F55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</w:t>
            </w:r>
            <w:proofErr w:type="gramEnd"/>
            <w:r w:rsidRPr="008F55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棒球打擊率的計算</w:t>
            </w:r>
          </w:p>
          <w:p w:rsidR="00635980" w:rsidRDefault="00635980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35980" w:rsidRDefault="00635980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第九單元</w:t>
            </w:r>
          </w:p>
          <w:p w:rsidR="00345959" w:rsidRDefault="00635980" w:rsidP="00345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5959" w:rsidRPr="00345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數學繪本閱讀：</w:t>
            </w:r>
          </w:p>
          <w:p w:rsidR="00345959" w:rsidRPr="00345959" w:rsidRDefault="00345959" w:rsidP="00E76AA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-嘻，就是這一杯</w:t>
            </w:r>
          </w:p>
        </w:tc>
        <w:tc>
          <w:tcPr>
            <w:tcW w:w="816" w:type="pct"/>
          </w:tcPr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A1身心素質與自我精進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B1符號運用與溝通表達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50101" w:rsidRPr="00A360EB" w:rsidRDefault="00450101" w:rsidP="00450101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60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能透過數學繪本的閱讀，促進數學與生活情境的連結。</w:t>
            </w:r>
          </w:p>
          <w:p w:rsidR="00450101" w:rsidRPr="00A360EB" w:rsidRDefault="00450101" w:rsidP="00450101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60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配合數學課程單元教學，融入多元的實作與分享討論課程，以增進數學教學的生活化、趣味化。</w:t>
            </w:r>
          </w:p>
          <w:p w:rsidR="00345959" w:rsidRPr="00CF6403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345959" w:rsidRDefault="00F0642F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第八單元</w:t>
            </w:r>
          </w:p>
          <w:p w:rsidR="00F0642F" w:rsidRPr="00F0642F" w:rsidRDefault="00F0642F" w:rsidP="00F0642F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教師在教完第八單元後，可命題讓學生討論</w:t>
            </w:r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F0642F" w:rsidRDefault="00F0642F" w:rsidP="00F0642F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在</w:t>
            </w:r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生活中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，打折、加成與第二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件半價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等情形，一種計費方式最划算。</w:t>
            </w:r>
          </w:p>
          <w:p w:rsidR="00F0642F" w:rsidRPr="00F0642F" w:rsidRDefault="00F0642F" w:rsidP="00F0642F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配合學校樂</w:t>
            </w:r>
            <w:proofErr w:type="gramStart"/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樂</w:t>
            </w:r>
            <w:proofErr w:type="gramEnd"/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棒</w:t>
            </w:r>
          </w:p>
          <w:p w:rsidR="00F0642F" w:rsidRDefault="00F0642F" w:rsidP="00F0642F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6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球比賽，學生能統計每次練習的結果，以進行打擊率的計算。</w:t>
            </w:r>
          </w:p>
          <w:p w:rsidR="00F0642F" w:rsidRDefault="00F0642F" w:rsidP="00F0642F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0642F" w:rsidRDefault="00F0642F" w:rsidP="00F0642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第九單元</w:t>
            </w:r>
          </w:p>
          <w:p w:rsidR="00F0642F" w:rsidRPr="00645EC8" w:rsidRDefault="00F0642F" w:rsidP="00645E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241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824118" w:rsidRPr="008241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教師在教第</w:t>
            </w:r>
            <w:r w:rsid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九</w:t>
            </w:r>
            <w:r w:rsidR="00824118" w:rsidRPr="008241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單元前，先引導學生閱讀數學繪本-</w:t>
            </w:r>
            <w:proofErr w:type="gramStart"/>
            <w:r w:rsidR="00824118"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魔數小子</w:t>
            </w:r>
            <w:proofErr w:type="gramEnd"/>
            <w:r w:rsidR="00824118"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-</w:t>
            </w:r>
            <w:r w:rsidR="00E76AA2" w:rsidRPr="00E76A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嘻，就是這一杯</w:t>
            </w:r>
            <w:r w:rsidR="00824118" w:rsidRPr="008241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，以引起學生的學習興趣。</w:t>
            </w:r>
          </w:p>
        </w:tc>
        <w:tc>
          <w:tcPr>
            <w:tcW w:w="735" w:type="pct"/>
          </w:tcPr>
          <w:p w:rsidR="004566D8" w:rsidRDefault="004566D8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E37D6" w:rsidRDefault="003E37D6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N-5-10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解題：比率與應用。整數相除的應用。含「百分率」、「折」、「成」。</w:t>
            </w: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72AF" w:rsidRDefault="005272AF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Default="00F139D3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Default="00F139D3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Default="00F139D3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Default="00F139D3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Default="00F139D3" w:rsidP="003E37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5959" w:rsidRPr="003E37D6" w:rsidRDefault="005272AF" w:rsidP="004566D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N-5-15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解題：容積。容量、容積和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體積間的關係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。知道液體體積的意義。</w:t>
            </w:r>
          </w:p>
        </w:tc>
        <w:tc>
          <w:tcPr>
            <w:tcW w:w="726" w:type="pct"/>
          </w:tcPr>
          <w:p w:rsidR="004566D8" w:rsidRDefault="004566D8" w:rsidP="0025511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5118" w:rsidRDefault="00255118" w:rsidP="0025511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n-III-9理解比例關係的意義，並能據以觀察、表述、計算與解題，如比率、比</w:t>
            </w: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例尺、速度、基準量等。</w:t>
            </w:r>
          </w:p>
          <w:p w:rsidR="00345959" w:rsidRDefault="00345959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5118" w:rsidRDefault="0025511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5118" w:rsidRDefault="0025511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5118" w:rsidRDefault="0025511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Default="00F139D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Default="00F139D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Default="00F139D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Default="00F139D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Default="00F139D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5118" w:rsidRPr="000F6F94" w:rsidRDefault="00255118" w:rsidP="004566D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n-III-12理解容量、容積和體積之間的關係，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並做應用。</w:t>
            </w:r>
          </w:p>
        </w:tc>
        <w:tc>
          <w:tcPr>
            <w:tcW w:w="545" w:type="pct"/>
          </w:tcPr>
          <w:p w:rsidR="00345959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學習單</w:t>
            </w: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Pr="00CF6403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</w:tcPr>
          <w:p w:rsidR="00345959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B5377" w:rsidRPr="00CF6403" w:rsidRDefault="009B5377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語文</w:t>
            </w:r>
          </w:p>
        </w:tc>
      </w:tr>
      <w:tr w:rsidR="00345959" w:rsidRPr="00CF6403" w:rsidTr="00C32B05">
        <w:trPr>
          <w:trHeight w:val="964"/>
        </w:trPr>
        <w:tc>
          <w:tcPr>
            <w:tcW w:w="327" w:type="pct"/>
            <w:vAlign w:val="center"/>
          </w:tcPr>
          <w:p w:rsidR="00345959" w:rsidRDefault="00345959" w:rsidP="0034595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17-20</w:t>
            </w:r>
          </w:p>
        </w:tc>
        <w:tc>
          <w:tcPr>
            <w:tcW w:w="609" w:type="pct"/>
          </w:tcPr>
          <w:p w:rsidR="00635980" w:rsidRDefault="00635980" w:rsidP="008F55E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第九單元：</w:t>
            </w:r>
          </w:p>
          <w:p w:rsidR="00345959" w:rsidRDefault="008F55EE" w:rsidP="006359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8F55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生活用水知多少-水費單應用教學</w:t>
            </w:r>
          </w:p>
        </w:tc>
        <w:tc>
          <w:tcPr>
            <w:tcW w:w="816" w:type="pct"/>
          </w:tcPr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450101" w:rsidRPr="004B3E68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C5CF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C1</w:t>
            </w:r>
            <w:r w:rsidRPr="004C5C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道德實踐與公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民意識</w:t>
            </w:r>
          </w:p>
          <w:p w:rsid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3E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  <w:p w:rsidR="00450101" w:rsidRP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50101" w:rsidRPr="00450101" w:rsidRDefault="00450101" w:rsidP="004501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450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配合數學課程單元教學，融入多元</w:t>
            </w:r>
            <w:r w:rsidRPr="00450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的實作與分享討論課程，以增進數學教學的生活化、趣味化。</w:t>
            </w:r>
          </w:p>
          <w:p w:rsidR="00345959" w:rsidRPr="00450101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345959" w:rsidRDefault="00645EC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第九單元</w:t>
            </w:r>
          </w:p>
          <w:p w:rsidR="00645EC8" w:rsidRPr="00645EC8" w:rsidRDefault="00645EC8" w:rsidP="00645EC8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5E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教師在教完第九單元後，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請</w:t>
            </w:r>
            <w:proofErr w:type="gramStart"/>
            <w:r w:rsidRPr="00645E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學生帶家中的</w:t>
            </w:r>
            <w:proofErr w:type="gramEnd"/>
            <w:r w:rsidRPr="00645E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水費單到校。</w:t>
            </w:r>
          </w:p>
          <w:p w:rsidR="00645EC8" w:rsidRDefault="00645EC8" w:rsidP="00645EC8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水費單</w:t>
            </w:r>
            <w:r w:rsidR="00F139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教學</w:t>
            </w:r>
          </w:p>
          <w:p w:rsidR="008B4FCE" w:rsidRDefault="00645EC8" w:rsidP="008B4FCE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4F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請學生仔細閱讀水費單</w:t>
            </w:r>
          </w:p>
          <w:p w:rsidR="00645EC8" w:rsidRPr="008B4FCE" w:rsidRDefault="008B4FCE" w:rsidP="008B4FCE">
            <w:pPr>
              <w:pStyle w:val="a4"/>
              <w:snapToGrid w:val="0"/>
              <w:spacing w:line="3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4F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，並針對看不懂的項目進行討論與教學。</w:t>
            </w:r>
          </w:p>
          <w:p w:rsidR="008B4FCE" w:rsidRDefault="008B4FCE" w:rsidP="008B4FCE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了解水費單上的水量單位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564FC" w:rsidRPr="00B564FC" w:rsidRDefault="001D5675" w:rsidP="00B564FC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上網找出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度水的費用和</w:t>
            </w:r>
            <w:r w:rsidR="008B4F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找出水費單上的用水度數，並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計算水費單上的水費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檢查水費單收費是否正確。</w:t>
            </w:r>
          </w:p>
        </w:tc>
        <w:tc>
          <w:tcPr>
            <w:tcW w:w="735" w:type="pct"/>
          </w:tcPr>
          <w:p w:rsidR="00F139D3" w:rsidRDefault="00F139D3" w:rsidP="00F139D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39D3" w:rsidRPr="00D866C3" w:rsidRDefault="00F139D3" w:rsidP="00F139D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6C3">
              <w:rPr>
                <w:rFonts w:ascii="標楷體" w:eastAsia="標楷體" w:hAnsi="標楷體"/>
                <w:sz w:val="28"/>
                <w:szCs w:val="28"/>
              </w:rPr>
              <w:t>N-5-15</w:t>
            </w:r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解題：容積。容量、容積和</w:t>
            </w:r>
            <w:proofErr w:type="gramStart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體積間的關係</w:t>
            </w:r>
            <w:proofErr w:type="gramEnd"/>
            <w:r w:rsidRPr="00D866C3">
              <w:rPr>
                <w:rFonts w:ascii="標楷體" w:eastAsia="標楷體" w:hAnsi="標楷體" w:hint="eastAsia"/>
                <w:sz w:val="28"/>
                <w:szCs w:val="28"/>
              </w:rPr>
              <w:t>。知道液體體積的意義。</w:t>
            </w:r>
          </w:p>
          <w:p w:rsidR="00345959" w:rsidRPr="00CF6403" w:rsidRDefault="00345959" w:rsidP="0064681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6" w:type="pct"/>
          </w:tcPr>
          <w:p w:rsidR="00F139D3" w:rsidRDefault="00F139D3" w:rsidP="00F139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139D3" w:rsidRPr="00DC4B51" w:rsidRDefault="00F139D3" w:rsidP="00F139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n-III-12理解容量、容積和體積之間的關係，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DC4B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並做應用。</w:t>
            </w:r>
          </w:p>
          <w:p w:rsidR="00345959" w:rsidRPr="00F139D3" w:rsidRDefault="00345959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pct"/>
          </w:tcPr>
          <w:p w:rsidR="00345959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66D8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學習單</w:t>
            </w:r>
          </w:p>
          <w:p w:rsidR="004566D8" w:rsidRPr="00CF6403" w:rsidRDefault="004566D8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小組討論</w:t>
            </w:r>
          </w:p>
        </w:tc>
        <w:tc>
          <w:tcPr>
            <w:tcW w:w="426" w:type="pct"/>
          </w:tcPr>
          <w:p w:rsidR="00345959" w:rsidRPr="00CF6403" w:rsidRDefault="00345959" w:rsidP="0064681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FB" w:rsidRDefault="00B50AFB" w:rsidP="001F0B80">
      <w:r>
        <w:separator/>
      </w:r>
    </w:p>
  </w:endnote>
  <w:endnote w:type="continuationSeparator" w:id="0">
    <w:p w:rsidR="00B50AFB" w:rsidRDefault="00B50AFB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353517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8E4476" w:rsidRPr="008E4476">
          <w:rPr>
            <w:noProof/>
            <w:lang w:val="zh-TW"/>
          </w:rPr>
          <w:t>2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FB" w:rsidRDefault="00B50AFB" w:rsidP="001F0B80">
      <w:r>
        <w:separator/>
      </w:r>
    </w:p>
  </w:footnote>
  <w:footnote w:type="continuationSeparator" w:id="0">
    <w:p w:rsidR="00B50AFB" w:rsidRDefault="00B50AFB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E17242"/>
    <w:multiLevelType w:val="hybridMultilevel"/>
    <w:tmpl w:val="4FB08ED2"/>
    <w:lvl w:ilvl="0" w:tplc="5DE208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A0342"/>
    <w:multiLevelType w:val="hybridMultilevel"/>
    <w:tmpl w:val="22A6B496"/>
    <w:lvl w:ilvl="0" w:tplc="57DA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95743"/>
    <w:multiLevelType w:val="hybridMultilevel"/>
    <w:tmpl w:val="FCBEB6B4"/>
    <w:lvl w:ilvl="0" w:tplc="73D64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801DE5"/>
    <w:multiLevelType w:val="hybridMultilevel"/>
    <w:tmpl w:val="BA32B8E0"/>
    <w:lvl w:ilvl="0" w:tplc="132029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8E4763"/>
    <w:multiLevelType w:val="hybridMultilevel"/>
    <w:tmpl w:val="09F2F328"/>
    <w:lvl w:ilvl="0" w:tplc="3B466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B91937"/>
    <w:multiLevelType w:val="hybridMultilevel"/>
    <w:tmpl w:val="11E00A9A"/>
    <w:lvl w:ilvl="0" w:tplc="E32A6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822CEF"/>
    <w:multiLevelType w:val="hybridMultilevel"/>
    <w:tmpl w:val="8AD45120"/>
    <w:lvl w:ilvl="0" w:tplc="73D64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E6D98"/>
    <w:multiLevelType w:val="hybridMultilevel"/>
    <w:tmpl w:val="1F321F38"/>
    <w:lvl w:ilvl="0" w:tplc="91C4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BE6509"/>
    <w:multiLevelType w:val="hybridMultilevel"/>
    <w:tmpl w:val="153CE582"/>
    <w:lvl w:ilvl="0" w:tplc="14DA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5C8A6139"/>
    <w:multiLevelType w:val="hybridMultilevel"/>
    <w:tmpl w:val="84DEA778"/>
    <w:lvl w:ilvl="0" w:tplc="58647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5D4059"/>
    <w:multiLevelType w:val="hybridMultilevel"/>
    <w:tmpl w:val="FABE0562"/>
    <w:lvl w:ilvl="0" w:tplc="94F8590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836BEE"/>
    <w:multiLevelType w:val="hybridMultilevel"/>
    <w:tmpl w:val="B26A3B3E"/>
    <w:lvl w:ilvl="0" w:tplc="57DA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10"/>
  </w:num>
  <w:num w:numId="5">
    <w:abstractNumId w:val="19"/>
  </w:num>
  <w:num w:numId="6">
    <w:abstractNumId w:val="1"/>
  </w:num>
  <w:num w:numId="7">
    <w:abstractNumId w:val="18"/>
  </w:num>
  <w:num w:numId="8">
    <w:abstractNumId w:val="11"/>
  </w:num>
  <w:num w:numId="9">
    <w:abstractNumId w:val="0"/>
  </w:num>
  <w:num w:numId="10">
    <w:abstractNumId w:val="5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24"/>
  </w:num>
  <w:num w:numId="16">
    <w:abstractNumId w:val="25"/>
  </w:num>
  <w:num w:numId="17">
    <w:abstractNumId w:val="20"/>
  </w:num>
  <w:num w:numId="18">
    <w:abstractNumId w:val="21"/>
  </w:num>
  <w:num w:numId="19">
    <w:abstractNumId w:val="12"/>
  </w:num>
  <w:num w:numId="20">
    <w:abstractNumId w:val="23"/>
  </w:num>
  <w:num w:numId="21">
    <w:abstractNumId w:val="7"/>
  </w:num>
  <w:num w:numId="22">
    <w:abstractNumId w:val="8"/>
  </w:num>
  <w:num w:numId="23">
    <w:abstractNumId w:val="26"/>
  </w:num>
  <w:num w:numId="24">
    <w:abstractNumId w:val="3"/>
  </w:num>
  <w:num w:numId="25">
    <w:abstractNumId w:val="4"/>
  </w:num>
  <w:num w:numId="26">
    <w:abstractNumId w:val="16"/>
  </w:num>
  <w:num w:numId="27">
    <w:abstractNumId w:val="13"/>
  </w:num>
  <w:num w:numId="28">
    <w:abstractNumId w:val="2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400AE"/>
    <w:rsid w:val="00041AF0"/>
    <w:rsid w:val="00043A68"/>
    <w:rsid w:val="00044E2E"/>
    <w:rsid w:val="0007435A"/>
    <w:rsid w:val="00074904"/>
    <w:rsid w:val="00080614"/>
    <w:rsid w:val="000813F6"/>
    <w:rsid w:val="00087BF8"/>
    <w:rsid w:val="000A6757"/>
    <w:rsid w:val="000C38C3"/>
    <w:rsid w:val="000C50A5"/>
    <w:rsid w:val="000C58D9"/>
    <w:rsid w:val="000C6A84"/>
    <w:rsid w:val="000D3C55"/>
    <w:rsid w:val="000E0138"/>
    <w:rsid w:val="000E4167"/>
    <w:rsid w:val="000F03BB"/>
    <w:rsid w:val="000F19F5"/>
    <w:rsid w:val="000F6F94"/>
    <w:rsid w:val="0010403B"/>
    <w:rsid w:val="00106BED"/>
    <w:rsid w:val="0010707F"/>
    <w:rsid w:val="00111884"/>
    <w:rsid w:val="00114775"/>
    <w:rsid w:val="001179B2"/>
    <w:rsid w:val="00123AA8"/>
    <w:rsid w:val="001335E1"/>
    <w:rsid w:val="001349E8"/>
    <w:rsid w:val="0014728B"/>
    <w:rsid w:val="00155DB2"/>
    <w:rsid w:val="00191F7F"/>
    <w:rsid w:val="001945FD"/>
    <w:rsid w:val="001A2037"/>
    <w:rsid w:val="001A23DC"/>
    <w:rsid w:val="001A6BF0"/>
    <w:rsid w:val="001C4586"/>
    <w:rsid w:val="001C4D12"/>
    <w:rsid w:val="001C6D37"/>
    <w:rsid w:val="001D5675"/>
    <w:rsid w:val="001E3BF3"/>
    <w:rsid w:val="001F053D"/>
    <w:rsid w:val="001F0B80"/>
    <w:rsid w:val="001F399B"/>
    <w:rsid w:val="001F6506"/>
    <w:rsid w:val="002038D8"/>
    <w:rsid w:val="00207CFB"/>
    <w:rsid w:val="002502B7"/>
    <w:rsid w:val="00255118"/>
    <w:rsid w:val="00257BE2"/>
    <w:rsid w:val="00262ECE"/>
    <w:rsid w:val="002774BD"/>
    <w:rsid w:val="00280134"/>
    <w:rsid w:val="002A1BCD"/>
    <w:rsid w:val="002A203C"/>
    <w:rsid w:val="002B6820"/>
    <w:rsid w:val="002C3043"/>
    <w:rsid w:val="002C362F"/>
    <w:rsid w:val="002E19CE"/>
    <w:rsid w:val="002E7F89"/>
    <w:rsid w:val="002F4540"/>
    <w:rsid w:val="00302A6E"/>
    <w:rsid w:val="00302EE9"/>
    <w:rsid w:val="003039A9"/>
    <w:rsid w:val="00307B9F"/>
    <w:rsid w:val="0032240C"/>
    <w:rsid w:val="0033259F"/>
    <w:rsid w:val="003355AE"/>
    <w:rsid w:val="00335B55"/>
    <w:rsid w:val="00342E8B"/>
    <w:rsid w:val="00345959"/>
    <w:rsid w:val="0035218C"/>
    <w:rsid w:val="00353517"/>
    <w:rsid w:val="0039335A"/>
    <w:rsid w:val="003B1D11"/>
    <w:rsid w:val="003B62A5"/>
    <w:rsid w:val="003B7B4E"/>
    <w:rsid w:val="003C2DBC"/>
    <w:rsid w:val="003C47B8"/>
    <w:rsid w:val="003C7B1F"/>
    <w:rsid w:val="003D3F27"/>
    <w:rsid w:val="003D4102"/>
    <w:rsid w:val="003E2672"/>
    <w:rsid w:val="003E37D6"/>
    <w:rsid w:val="00401169"/>
    <w:rsid w:val="004273AD"/>
    <w:rsid w:val="00450101"/>
    <w:rsid w:val="004562A3"/>
    <w:rsid w:val="004566D8"/>
    <w:rsid w:val="00470DB6"/>
    <w:rsid w:val="0047382C"/>
    <w:rsid w:val="00475DC5"/>
    <w:rsid w:val="00486A72"/>
    <w:rsid w:val="004B2E25"/>
    <w:rsid w:val="004B358F"/>
    <w:rsid w:val="004B3E68"/>
    <w:rsid w:val="004B6D93"/>
    <w:rsid w:val="004C0DE8"/>
    <w:rsid w:val="004C5CF7"/>
    <w:rsid w:val="004D70D9"/>
    <w:rsid w:val="004E1827"/>
    <w:rsid w:val="00503A8B"/>
    <w:rsid w:val="00517F72"/>
    <w:rsid w:val="00524BB9"/>
    <w:rsid w:val="00525394"/>
    <w:rsid w:val="005272AF"/>
    <w:rsid w:val="005421E1"/>
    <w:rsid w:val="00547BD2"/>
    <w:rsid w:val="00557746"/>
    <w:rsid w:val="0056053E"/>
    <w:rsid w:val="00565B29"/>
    <w:rsid w:val="0057115C"/>
    <w:rsid w:val="00574736"/>
    <w:rsid w:val="00576046"/>
    <w:rsid w:val="005A1DA7"/>
    <w:rsid w:val="005B7460"/>
    <w:rsid w:val="005D2EC8"/>
    <w:rsid w:val="005D742E"/>
    <w:rsid w:val="005D76B1"/>
    <w:rsid w:val="005D76C0"/>
    <w:rsid w:val="005E7367"/>
    <w:rsid w:val="005E7739"/>
    <w:rsid w:val="00610437"/>
    <w:rsid w:val="00617704"/>
    <w:rsid w:val="00624F1C"/>
    <w:rsid w:val="00635980"/>
    <w:rsid w:val="00642323"/>
    <w:rsid w:val="00645EC8"/>
    <w:rsid w:val="00646819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C658F"/>
    <w:rsid w:val="006D3D9E"/>
    <w:rsid w:val="006E53BB"/>
    <w:rsid w:val="00700D5D"/>
    <w:rsid w:val="007560C9"/>
    <w:rsid w:val="007938C8"/>
    <w:rsid w:val="00796E2D"/>
    <w:rsid w:val="007A286B"/>
    <w:rsid w:val="007E6854"/>
    <w:rsid w:val="007F0B1D"/>
    <w:rsid w:val="007F63E0"/>
    <w:rsid w:val="00804AEF"/>
    <w:rsid w:val="00817F38"/>
    <w:rsid w:val="00824118"/>
    <w:rsid w:val="00825C5D"/>
    <w:rsid w:val="00831B04"/>
    <w:rsid w:val="00832042"/>
    <w:rsid w:val="00834220"/>
    <w:rsid w:val="00835BA3"/>
    <w:rsid w:val="008575C5"/>
    <w:rsid w:val="00862A9E"/>
    <w:rsid w:val="008713DC"/>
    <w:rsid w:val="00872FEF"/>
    <w:rsid w:val="008735EC"/>
    <w:rsid w:val="0087785C"/>
    <w:rsid w:val="00886DE4"/>
    <w:rsid w:val="00893476"/>
    <w:rsid w:val="008A4390"/>
    <w:rsid w:val="008A7CA5"/>
    <w:rsid w:val="008B1E71"/>
    <w:rsid w:val="008B3361"/>
    <w:rsid w:val="008B4FCE"/>
    <w:rsid w:val="008C04C0"/>
    <w:rsid w:val="008C0F2F"/>
    <w:rsid w:val="008D4245"/>
    <w:rsid w:val="008E1D33"/>
    <w:rsid w:val="008E4476"/>
    <w:rsid w:val="008E7AC3"/>
    <w:rsid w:val="008F55EE"/>
    <w:rsid w:val="008F735D"/>
    <w:rsid w:val="009045C8"/>
    <w:rsid w:val="009053B9"/>
    <w:rsid w:val="00907750"/>
    <w:rsid w:val="0092184F"/>
    <w:rsid w:val="00925281"/>
    <w:rsid w:val="0093083B"/>
    <w:rsid w:val="00935B7C"/>
    <w:rsid w:val="00942743"/>
    <w:rsid w:val="00945017"/>
    <w:rsid w:val="009576DC"/>
    <w:rsid w:val="009609BD"/>
    <w:rsid w:val="009618E2"/>
    <w:rsid w:val="009671B7"/>
    <w:rsid w:val="00974241"/>
    <w:rsid w:val="009756DB"/>
    <w:rsid w:val="009869AD"/>
    <w:rsid w:val="00990776"/>
    <w:rsid w:val="00991D9B"/>
    <w:rsid w:val="00994F03"/>
    <w:rsid w:val="009A5272"/>
    <w:rsid w:val="009B024B"/>
    <w:rsid w:val="009B2D13"/>
    <w:rsid w:val="009B3A25"/>
    <w:rsid w:val="009B446B"/>
    <w:rsid w:val="009B5377"/>
    <w:rsid w:val="009C1DFE"/>
    <w:rsid w:val="009C31D3"/>
    <w:rsid w:val="009D0A82"/>
    <w:rsid w:val="009E2DB0"/>
    <w:rsid w:val="009E7AE5"/>
    <w:rsid w:val="009F0C70"/>
    <w:rsid w:val="009F4DBF"/>
    <w:rsid w:val="00A0179A"/>
    <w:rsid w:val="00A03CB0"/>
    <w:rsid w:val="00A13C01"/>
    <w:rsid w:val="00A14FE2"/>
    <w:rsid w:val="00A17B15"/>
    <w:rsid w:val="00A24609"/>
    <w:rsid w:val="00A31A29"/>
    <w:rsid w:val="00A32D71"/>
    <w:rsid w:val="00A34D93"/>
    <w:rsid w:val="00A360EB"/>
    <w:rsid w:val="00A42E9E"/>
    <w:rsid w:val="00A47719"/>
    <w:rsid w:val="00A566D1"/>
    <w:rsid w:val="00A87075"/>
    <w:rsid w:val="00AA4C5C"/>
    <w:rsid w:val="00AA7830"/>
    <w:rsid w:val="00AB5A04"/>
    <w:rsid w:val="00AC0B58"/>
    <w:rsid w:val="00AC1D2A"/>
    <w:rsid w:val="00AD4992"/>
    <w:rsid w:val="00AD4EDE"/>
    <w:rsid w:val="00AD7C8C"/>
    <w:rsid w:val="00AE7363"/>
    <w:rsid w:val="00AE76BE"/>
    <w:rsid w:val="00AF18CC"/>
    <w:rsid w:val="00AF561E"/>
    <w:rsid w:val="00AF606A"/>
    <w:rsid w:val="00B069BC"/>
    <w:rsid w:val="00B12955"/>
    <w:rsid w:val="00B13F75"/>
    <w:rsid w:val="00B14B02"/>
    <w:rsid w:val="00B221DB"/>
    <w:rsid w:val="00B25FC1"/>
    <w:rsid w:val="00B41FA8"/>
    <w:rsid w:val="00B50AFB"/>
    <w:rsid w:val="00B536DF"/>
    <w:rsid w:val="00B564FC"/>
    <w:rsid w:val="00B62023"/>
    <w:rsid w:val="00B63FA1"/>
    <w:rsid w:val="00B663BF"/>
    <w:rsid w:val="00B72F41"/>
    <w:rsid w:val="00B80DA1"/>
    <w:rsid w:val="00B814F5"/>
    <w:rsid w:val="00B85398"/>
    <w:rsid w:val="00B94336"/>
    <w:rsid w:val="00B9596F"/>
    <w:rsid w:val="00B97E4F"/>
    <w:rsid w:val="00BB430E"/>
    <w:rsid w:val="00BC146F"/>
    <w:rsid w:val="00BC5448"/>
    <w:rsid w:val="00BD226D"/>
    <w:rsid w:val="00BE42CE"/>
    <w:rsid w:val="00C07BF4"/>
    <w:rsid w:val="00C07F63"/>
    <w:rsid w:val="00C11EED"/>
    <w:rsid w:val="00C17085"/>
    <w:rsid w:val="00C21E2C"/>
    <w:rsid w:val="00C31422"/>
    <w:rsid w:val="00C32B05"/>
    <w:rsid w:val="00C33FAE"/>
    <w:rsid w:val="00C37521"/>
    <w:rsid w:val="00C40360"/>
    <w:rsid w:val="00C53A40"/>
    <w:rsid w:val="00C6305F"/>
    <w:rsid w:val="00C67FC4"/>
    <w:rsid w:val="00C8197D"/>
    <w:rsid w:val="00C82205"/>
    <w:rsid w:val="00C93DCD"/>
    <w:rsid w:val="00CA0AA3"/>
    <w:rsid w:val="00CA33A3"/>
    <w:rsid w:val="00CB1CA4"/>
    <w:rsid w:val="00CF151F"/>
    <w:rsid w:val="00CF43E2"/>
    <w:rsid w:val="00CF6403"/>
    <w:rsid w:val="00D01E92"/>
    <w:rsid w:val="00D073FF"/>
    <w:rsid w:val="00D213DA"/>
    <w:rsid w:val="00D37837"/>
    <w:rsid w:val="00D4762A"/>
    <w:rsid w:val="00D52A5B"/>
    <w:rsid w:val="00D64AB7"/>
    <w:rsid w:val="00D6679F"/>
    <w:rsid w:val="00D72DB2"/>
    <w:rsid w:val="00D73F82"/>
    <w:rsid w:val="00D85E64"/>
    <w:rsid w:val="00D866C3"/>
    <w:rsid w:val="00D9228A"/>
    <w:rsid w:val="00DB131A"/>
    <w:rsid w:val="00DC3B82"/>
    <w:rsid w:val="00DC4B51"/>
    <w:rsid w:val="00DF7D59"/>
    <w:rsid w:val="00E04041"/>
    <w:rsid w:val="00E15B32"/>
    <w:rsid w:val="00E36B5E"/>
    <w:rsid w:val="00E409BC"/>
    <w:rsid w:val="00E5292C"/>
    <w:rsid w:val="00E549FC"/>
    <w:rsid w:val="00E6516B"/>
    <w:rsid w:val="00E666DC"/>
    <w:rsid w:val="00E7137C"/>
    <w:rsid w:val="00E72E5B"/>
    <w:rsid w:val="00E72FC6"/>
    <w:rsid w:val="00E76AA2"/>
    <w:rsid w:val="00EA4182"/>
    <w:rsid w:val="00EB0670"/>
    <w:rsid w:val="00EB0A69"/>
    <w:rsid w:val="00ED2519"/>
    <w:rsid w:val="00ED6C0D"/>
    <w:rsid w:val="00EE12D0"/>
    <w:rsid w:val="00EE6099"/>
    <w:rsid w:val="00EE784D"/>
    <w:rsid w:val="00EF3192"/>
    <w:rsid w:val="00F0642F"/>
    <w:rsid w:val="00F1021D"/>
    <w:rsid w:val="00F139D3"/>
    <w:rsid w:val="00F14616"/>
    <w:rsid w:val="00F15E2D"/>
    <w:rsid w:val="00F219E9"/>
    <w:rsid w:val="00F267A2"/>
    <w:rsid w:val="00F30816"/>
    <w:rsid w:val="00F3444E"/>
    <w:rsid w:val="00F46B83"/>
    <w:rsid w:val="00F537E6"/>
    <w:rsid w:val="00F576C6"/>
    <w:rsid w:val="00F5771C"/>
    <w:rsid w:val="00F60AFC"/>
    <w:rsid w:val="00F722A1"/>
    <w:rsid w:val="00F832DB"/>
    <w:rsid w:val="00F855F9"/>
    <w:rsid w:val="00F87855"/>
    <w:rsid w:val="00FE06AF"/>
    <w:rsid w:val="00FE3CE1"/>
    <w:rsid w:val="00FF1B2D"/>
    <w:rsid w:val="00FF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82D5-A628-4DA2-A3ED-C2626074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cheau</cp:lastModifiedBy>
  <cp:revision>2</cp:revision>
  <dcterms:created xsi:type="dcterms:W3CDTF">2019-02-13T10:50:00Z</dcterms:created>
  <dcterms:modified xsi:type="dcterms:W3CDTF">2019-02-13T10:50:00Z</dcterms:modified>
</cp:coreProperties>
</file>